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bookmarkEnd w:id="0"/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指導單位：客家委員會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、屏東縣政府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</w:t>
      </w:r>
      <w:r w:rsidRPr="001034FF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C605D5" w:rsidRPr="001034FF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Pr="001034FF">
        <w:rPr>
          <w:rFonts w:ascii="標楷體" w:eastAsia="標楷體" w:hAnsi="標楷體" w:cs="標楷體"/>
          <w:color w:val="FF0000"/>
          <w:sz w:val="28"/>
          <w:szCs w:val="28"/>
        </w:rPr>
        <w:t>5</w:t>
      </w:r>
      <w:r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34147A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C605D5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34147A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B1712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B17127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田村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公正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35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或傳真</w:t>
      </w:r>
      <w:r>
        <w:rPr>
          <w:rFonts w:ascii="標楷體" w:eastAsia="標楷體" w:hAnsi="標楷體" w:cs="標楷體"/>
          <w:color w:val="000000"/>
          <w:sz w:val="28"/>
          <w:szCs w:val="28"/>
        </w:rPr>
        <w:t>77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437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C605D5"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元應考獎勵金。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814967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本實施辦法刊登</w:t>
      </w:r>
      <w:r w:rsidR="00C605D5">
        <w:rPr>
          <w:rFonts w:ascii="標楷體" w:eastAsia="標楷體" w:hAnsi="標楷體" w:cs="標楷體" w:hint="eastAsia"/>
          <w:color w:val="000000"/>
          <w:sz w:val="28"/>
          <w:szCs w:val="28"/>
        </w:rPr>
        <w:t>63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期會刊，並公文告知各國小鼓勵學生參加。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請學校核章後以寄送或傳真</w:t>
      </w:r>
      <w:r>
        <w:rPr>
          <w:rFonts w:ascii="標楷體" w:eastAsia="標楷體" w:hAnsi="標楷體" w:cs="標楷體"/>
          <w:color w:val="000000"/>
          <w:sz w:val="22"/>
          <w:szCs w:val="22"/>
        </w:rPr>
        <w:t>(77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10437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方式到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竹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田國小，傳真後請來電</w:t>
      </w:r>
      <w:r>
        <w:rPr>
          <w:rFonts w:ascii="標楷體" w:eastAsia="標楷體" w:hAnsi="標楷體" w:cs="標楷體"/>
          <w:color w:val="000000"/>
          <w:sz w:val="22"/>
          <w:szCs w:val="22"/>
        </w:rPr>
        <w:t>(77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10834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="00616164">
        <w:rPr>
          <w:rFonts w:ascii="標楷體" w:eastAsia="標楷體" w:hAnsi="標楷體" w:cs="標楷體"/>
          <w:color w:val="000000"/>
          <w:sz w:val="22"/>
          <w:szCs w:val="22"/>
        </w:rPr>
        <w:t>連姿婷小姐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確認。個人報名或沒有學校核章者，恕不受理，敬請見諒</w:t>
      </w:r>
      <w:r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本報名表如不符使用，請自行影印，感謝您</w:t>
      </w:r>
      <w:r>
        <w:rPr>
          <w:rFonts w:ascii="標楷體" w:eastAsia="標楷體" w:hAnsi="標楷體" w:cs="標楷體"/>
          <w:color w:val="000000"/>
          <w:sz w:val="22"/>
          <w:szCs w:val="22"/>
        </w:rPr>
        <w:t>~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C2" w:rsidRDefault="001310C2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1310C2" w:rsidRDefault="001310C2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C2" w:rsidRDefault="001310C2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1310C2" w:rsidRDefault="001310C2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0"/>
    <w:rsid w:val="00056930"/>
    <w:rsid w:val="001034FF"/>
    <w:rsid w:val="00126A6C"/>
    <w:rsid w:val="001310C2"/>
    <w:rsid w:val="001808E3"/>
    <w:rsid w:val="001F30E9"/>
    <w:rsid w:val="0034147A"/>
    <w:rsid w:val="003F162D"/>
    <w:rsid w:val="00421E00"/>
    <w:rsid w:val="004D7DF2"/>
    <w:rsid w:val="004E7D29"/>
    <w:rsid w:val="00543880"/>
    <w:rsid w:val="00566475"/>
    <w:rsid w:val="005C61D2"/>
    <w:rsid w:val="00616164"/>
    <w:rsid w:val="006B613E"/>
    <w:rsid w:val="007406C5"/>
    <w:rsid w:val="00742BB0"/>
    <w:rsid w:val="007E6F13"/>
    <w:rsid w:val="007F23FF"/>
    <w:rsid w:val="00814967"/>
    <w:rsid w:val="008533B4"/>
    <w:rsid w:val="008714DE"/>
    <w:rsid w:val="008728D3"/>
    <w:rsid w:val="0088745F"/>
    <w:rsid w:val="00907C58"/>
    <w:rsid w:val="00975B42"/>
    <w:rsid w:val="00A02F3E"/>
    <w:rsid w:val="00A15AA2"/>
    <w:rsid w:val="00A92FC3"/>
    <w:rsid w:val="00AA74B6"/>
    <w:rsid w:val="00B17127"/>
    <w:rsid w:val="00B33A26"/>
    <w:rsid w:val="00B54227"/>
    <w:rsid w:val="00B61CC5"/>
    <w:rsid w:val="00B83270"/>
    <w:rsid w:val="00BC110C"/>
    <w:rsid w:val="00C05BDD"/>
    <w:rsid w:val="00C605D5"/>
    <w:rsid w:val="00CC2726"/>
    <w:rsid w:val="00DA1F28"/>
    <w:rsid w:val="00DA7BC1"/>
    <w:rsid w:val="00E028F3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7EEF4C-C61C-44D0-8CC3-42C9648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4AF2-20F5-4EC2-A71F-EF93D9A3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>PTHG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教務組長 NANA 主恩</cp:lastModifiedBy>
  <cp:revision>2</cp:revision>
  <cp:lastPrinted>2021-03-16T04:15:00Z</cp:lastPrinted>
  <dcterms:created xsi:type="dcterms:W3CDTF">2021-05-06T07:19:00Z</dcterms:created>
  <dcterms:modified xsi:type="dcterms:W3CDTF">2021-05-06T07:19:00Z</dcterms:modified>
</cp:coreProperties>
</file>